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  <w:t xml:space="preserve">DOI 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-2"/>
            <w:position w:val="0"/>
            <w:sz w:val="16"/>
            <w:u w:val="single"/>
            <w:shd w:fill="auto" w:val="clear"/>
          </w:rPr>
          <w:t xml:space="preserve">http://dx.doi.org/10.14353/sjk.2020.28.3.05</w:t>
        </w:r>
      </w:hyperlink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16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-2"/>
            <w:position w:val="0"/>
            <w:sz w:val="16"/>
            <w:u w:val="single"/>
            <w:shd w:fill="auto" w:val="clear"/>
          </w:rPr>
          <w:t xml:space="preserve">http://socioling.com</w:t>
        </w:r>
      </w:hyperlink>
    </w:p>
    <w:p>
      <w:pPr>
        <w:spacing w:before="0" w:after="0" w:line="29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9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9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38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auto" w:val="clear"/>
        </w:rPr>
        <w:t xml:space="preserve">Teasing Humor and Identity Construction in Business Meetings at a Korea Startup</w:t>
      </w:r>
      <w:r>
        <w:rPr>
          <w:rFonts w:ascii="Times New Roman" w:hAnsi="Times New Roman" w:cs="Times New Roman" w:eastAsia="Times New Roman"/>
          <w:color w:val="000000"/>
          <w:spacing w:val="-16"/>
          <w:position w:val="0"/>
          <w:sz w:val="30"/>
          <w:shd w:fill="auto" w:val="clear"/>
          <w:vertAlign w:val="superscript"/>
        </w:rPr>
        <w:t xml:space="preserve">※</w:t>
      </w:r>
    </w:p>
    <w:p>
      <w:pPr>
        <w:spacing w:before="0" w:after="0" w:line="29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9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9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Jeongyeon Kim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  <w:vertAlign w:val="superscript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&amp; Jinsook Choi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  <w:vertAlign w:val="superscript"/>
        </w:rPr>
        <w:t xml:space="preserve">**</w:t>
      </w:r>
    </w:p>
    <w:p>
      <w:pPr>
        <w:spacing w:before="0" w:after="0" w:line="29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  <w:vertAlign w:val="superscript"/>
        </w:rPr>
      </w:pPr>
    </w:p>
    <w:p>
      <w:pPr>
        <w:spacing w:before="0" w:after="0" w:line="29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Abstract</w:t>
      </w:r>
    </w:p>
    <w:p>
      <w:pPr>
        <w:spacing w:before="0" w:after="0" w:line="29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50"/>
        <w:ind w:right="550" w:left="55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18"/>
          <w:shd w:fill="auto" w:val="clear"/>
        </w:rPr>
        <w:t xml:space="preserve">Kim, J., &amp; Choi, J. (2020). Teasing humor and identity construction in business meetings at a Korean startup”. 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18"/>
          <w:shd w:fill="auto" w:val="clear"/>
        </w:rPr>
        <w:t xml:space="preserve">The Sociolinguistic Journal of Korea, 28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18"/>
          <w:shd w:fill="auto" w:val="clear"/>
        </w:rPr>
        <w:t xml:space="preserve">(3), 139-171.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This study examines the interactional dynamics revealed through teasing humor in the context of a startup business meeting. Using a quasi-conversation analytic approach to details of talk … </w:t>
      </w:r>
    </w:p>
    <w:p>
      <w:pPr>
        <w:spacing w:before="0" w:after="0" w:line="250"/>
        <w:ind w:right="550" w:left="1809" w:hanging="1272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18"/>
          <w:shd w:fill="auto" w:val="clear"/>
        </w:rPr>
        <w:t xml:space="preserve">Keywords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: teasing humor, identity, participation, business meeting, startup</w:t>
      </w:r>
    </w:p>
    <w:p>
      <w:pPr>
        <w:spacing w:before="0" w:after="0" w:line="250"/>
        <w:ind w:right="550" w:left="1480" w:hanging="943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</w:pPr>
    </w:p>
    <w:tbl>
      <w:tblPr/>
      <w:tblGrid>
        <w:gridCol w:w="7160"/>
      </w:tblGrid>
      <w:tr>
        <w:trPr>
          <w:trHeight w:val="552" w:hRule="auto"/>
          <w:jc w:val="left"/>
        </w:trPr>
        <w:tc>
          <w:tcPr>
            <w:tcW w:w="7160" w:type="dxa"/>
            <w:tcBorders>
              <w:top w:val="single" w:color="000000" w:sz="12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2" w:after="0" w:line="240"/>
              <w:ind w:right="0" w:left="158" w:hanging="158"/>
              <w:jc w:val="both"/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</w:pPr>
            <w:r>
              <w:rPr>
                <w:rFonts w:ascii="맑은 고딕" w:hAnsi="맑은 고딕" w:cs="맑은 고딕" w:eastAsia="맑은 고딕"/>
                <w:color w:val="auto"/>
                <w:spacing w:val="-2"/>
                <w:position w:val="0"/>
                <w:sz w:val="16"/>
                <w:shd w:fill="auto" w:val="clear"/>
              </w:rPr>
              <w:t xml:space="preserve">※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This work was supported in part with funds from …</w:t>
            </w:r>
          </w:p>
          <w:p>
            <w:pPr>
              <w:spacing w:before="72" w:after="72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First Author: Jeongyeon Kim, Professor, School of Liberal Arts, Ulsan National Institute of Science &amp; Technology; 50 UNIST-gil, Ulsan 44919, Korea; Email: ..</w:t>
            </w:r>
          </w:p>
          <w:p>
            <w:pPr>
              <w:spacing w:before="72" w:after="72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Corresponding Author:  Jinsook Choi, Professor, School of Liberal Arts, Ulsan National Institute of Science &amp; Technology; 50 UNIST-gil, Ulsan 44919, Korea; Email: …</w:t>
            </w:r>
          </w:p>
          <w:p>
            <w:pPr>
              <w:spacing w:before="72" w:after="72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Received 31 July 2020; Reviewed 21 August </w:t>
            </w:r>
            <w:r>
              <w:rPr>
                <w:rFonts w:ascii="맑은 고딕" w:hAnsi="맑은 고딕" w:cs="맑은 고딕" w:eastAsia="맑은 고딕"/>
                <w:color w:val="auto"/>
                <w:spacing w:val="-2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6"/>
                <w:shd w:fill="auto" w:val="clear"/>
              </w:rPr>
              <w:t xml:space="preserve"> 2 September 2020; Accepted 4 September 2020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B0F0"/>
          <w:spacing w:val="-2"/>
          <w:position w:val="0"/>
          <w:sz w:val="24"/>
          <w:shd w:fill="auto" w:val="clear"/>
        </w:rPr>
      </w:pPr>
    </w:p>
    <w:p>
      <w:pPr>
        <w:spacing w:before="0" w:after="0" w:line="290"/>
        <w:ind w:right="0" w:left="0" w:firstLine="0"/>
        <w:jc w:val="left"/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1. INTRODUCTION</w:t>
      </w:r>
    </w:p>
    <w:p>
      <w:pPr>
        <w:spacing w:before="0" w:after="0" w:line="290"/>
        <w:ind w:right="0" w:left="0" w:firstLine="19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90"/>
        <w:ind w:right="0" w:left="0" w:firstLine="19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Situated within an institutional setting, the interactions of a business group occur depending on its organizational roles and hierarchies. …</w:t>
      </w:r>
    </w:p>
    <w:p>
      <w:pPr>
        <w:spacing w:before="0" w:after="0" w:line="290"/>
        <w:ind w:right="0" w:left="0" w:firstLine="19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auto"/>
          <w:spacing w:val="-2"/>
          <w:position w:val="0"/>
          <w:sz w:val="20"/>
          <w:shd w:fill="auto" w:val="clear"/>
        </w:rPr>
        <w:t xml:space="preserve">…</w:t>
      </w:r>
    </w:p>
    <w:p>
      <w:pPr>
        <w:spacing w:before="0" w:after="0" w:line="290"/>
        <w:ind w:right="0" w:left="0" w:firstLine="19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auto"/>
          <w:spacing w:val="-2"/>
          <w:position w:val="0"/>
          <w:sz w:val="20"/>
          <w:shd w:fill="auto" w:val="clear"/>
        </w:rPr>
        <w:t xml:space="preserve">…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, we aim to shed light on ways in which novice business professionals construct their startup community of practice, which is currently not well documented or understood.</w:t>
      </w:r>
    </w:p>
    <w:p>
      <w:pPr>
        <w:spacing w:before="0" w:after="0" w:line="290"/>
        <w:ind w:right="0" w:left="0" w:firstLine="19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90"/>
        <w:ind w:right="0" w:left="0" w:firstLine="19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90"/>
        <w:ind w:right="0" w:left="0" w:firstLine="0"/>
        <w:jc w:val="left"/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2. REVIEW OF LITERATURE</w:t>
      </w:r>
    </w:p>
    <w:p>
      <w:pPr>
        <w:spacing w:before="0" w:after="0" w:line="290"/>
        <w:ind w:right="0" w:left="0" w:firstLine="19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90"/>
        <w:ind w:right="0" w:left="405" w:hanging="405"/>
        <w:jc w:val="left"/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  <w:t xml:space="preserve">2.1. Humor and Identity </w:t>
      </w:r>
    </w:p>
    <w:p>
      <w:pPr>
        <w:spacing w:before="0" w:after="0" w:line="290"/>
        <w:ind w:right="0" w:left="0" w:firstLine="19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90"/>
        <w:ind w:right="0" w:left="0" w:firstLine="19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Workplace humor in previous studies has been defined differently according to weights awarded to the speakers and hearers of humor (Schnurr, 2009). …</w:t>
      </w:r>
    </w:p>
    <w:p>
      <w:pPr>
        <w:spacing w:before="0" w:after="0" w:line="290"/>
        <w:ind w:right="0" w:left="0" w:firstLine="19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auto"/>
          <w:spacing w:val="-2"/>
          <w:position w:val="0"/>
          <w:sz w:val="20"/>
          <w:shd w:fill="auto" w:val="clear"/>
        </w:rPr>
        <w:t xml:space="preserve">…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</w:t>
      </w:r>
    </w:p>
    <w:p>
      <w:pPr>
        <w:spacing w:before="0" w:after="0" w:line="290"/>
        <w:ind w:right="0" w:left="0" w:firstLine="0"/>
        <w:jc w:val="both"/>
        <w:rPr>
          <w:rFonts w:ascii="Times New Roman" w:hAnsi="Times New Roman" w:cs="Times New Roman" w:eastAsia="Times New Roman"/>
          <w:color w:val="0070C0"/>
          <w:spacing w:val="-2"/>
          <w:position w:val="0"/>
          <w:sz w:val="20"/>
          <w:shd w:fill="auto" w:val="clear"/>
        </w:rPr>
      </w:pPr>
    </w:p>
    <w:p>
      <w:pPr>
        <w:spacing w:before="0" w:after="0" w:line="290"/>
        <w:ind w:right="0" w:left="405" w:hanging="405"/>
        <w:jc w:val="left"/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  <w:t xml:space="preserve">2.2. Teasing Humor at a Workplace</w:t>
      </w:r>
    </w:p>
    <w:p>
      <w:pPr>
        <w:spacing w:before="0" w:after="0" w:line="290"/>
        <w:ind w:right="0" w:left="0" w:firstLine="19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90"/>
        <w:ind w:right="0" w:left="0" w:firstLine="19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In view of politeness, teasing utterances, as a specific type of humor, … </w:t>
      </w:r>
    </w:p>
    <w:p>
      <w:pPr>
        <w:spacing w:before="0" w:after="0" w:line="290"/>
        <w:ind w:right="0" w:left="0" w:firstLine="19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auto"/>
          <w:spacing w:val="-2"/>
          <w:position w:val="0"/>
          <w:sz w:val="20"/>
          <w:shd w:fill="auto" w:val="clear"/>
        </w:rPr>
        <w:t xml:space="preserve">…</w:t>
      </w:r>
    </w:p>
    <w:p>
      <w:pPr>
        <w:spacing w:before="0" w:after="0" w:line="290"/>
        <w:ind w:right="0" w:left="0" w:firstLine="19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auto"/>
          <w:spacing w:val="-2"/>
          <w:position w:val="0"/>
          <w:sz w:val="20"/>
          <w:shd w:fill="auto" w:val="clear"/>
        </w:rPr>
        <w:t xml:space="preserve">…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this study investigates the teasing humor during the process of problem-solution, which sheds light on understanding how the interactional, participatory culture of a startup is created..</w:t>
      </w:r>
    </w:p>
    <w:p>
      <w:pPr>
        <w:spacing w:before="0" w:after="0" w:line="290"/>
        <w:ind w:right="0" w:left="0" w:firstLine="243"/>
        <w:jc w:val="both"/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</w:pPr>
    </w:p>
    <w:p>
      <w:pPr>
        <w:spacing w:before="0" w:after="0" w:line="290"/>
        <w:ind w:right="0" w:left="0" w:firstLine="243"/>
        <w:jc w:val="both"/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</w:pPr>
    </w:p>
    <w:p>
      <w:pPr>
        <w:spacing w:before="0" w:after="0" w:line="290"/>
        <w:ind w:right="0" w:left="0" w:firstLine="0"/>
        <w:jc w:val="left"/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3. METHODOLOGY</w:t>
      </w:r>
    </w:p>
    <w:p>
      <w:pPr>
        <w:spacing w:before="0" w:after="0" w:line="290"/>
        <w:ind w:right="0" w:left="0" w:firstLine="243"/>
        <w:jc w:val="both"/>
        <w:rPr>
          <w:rFonts w:ascii="Arial" w:hAnsi="Arial" w:cs="Arial" w:eastAsia="Arial"/>
          <w:b/>
          <w:color w:val="000000"/>
          <w:spacing w:val="-2"/>
          <w:position w:val="0"/>
          <w:sz w:val="24"/>
          <w:shd w:fill="auto" w:val="clear"/>
        </w:rPr>
      </w:pPr>
    </w:p>
    <w:p>
      <w:pPr>
        <w:spacing w:before="0" w:after="0" w:line="290"/>
        <w:ind w:right="0" w:left="405" w:hanging="405"/>
        <w:jc w:val="left"/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  <w:t xml:space="preserve">3.1. Research Questions</w:t>
      </w:r>
    </w:p>
    <w:p>
      <w:pPr>
        <w:spacing w:before="0" w:after="0" w:line="290"/>
        <w:ind w:right="0" w:left="0" w:firstLine="19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90"/>
        <w:ind w:right="0" w:left="0" w:firstLine="19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This study aimed to answer the following two stions:</w:t>
      </w:r>
    </w:p>
    <w:p>
      <w:pPr>
        <w:spacing w:before="0" w:after="0" w:line="290"/>
        <w:ind w:right="0" w:left="0" w:firstLine="19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90"/>
        <w:ind w:right="550" w:left="748" w:hanging="19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1. How …?</w:t>
      </w:r>
    </w:p>
    <w:p>
      <w:pPr>
        <w:spacing w:before="0" w:after="0" w:line="290"/>
        <w:ind w:right="550" w:left="748" w:hanging="19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2. In what ways …?</w:t>
      </w:r>
    </w:p>
    <w:p>
      <w:pPr>
        <w:spacing w:before="0" w:after="0" w:line="290"/>
        <w:ind w:right="0" w:left="0" w:firstLine="19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90"/>
        <w:ind w:right="0" w:left="405" w:hanging="405"/>
        <w:jc w:val="left"/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  <w:t xml:space="preserve">3.2. Context and Participants </w:t>
      </w:r>
    </w:p>
    <w:p>
      <w:pPr>
        <w:spacing w:before="0" w:after="0" w:line="290"/>
        <w:ind w:right="0" w:left="0" w:firstLine="19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90"/>
        <w:ind w:right="0" w:left="0" w:firstLine="19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The research site for this study … The two levels of proficiency examined in this study represent beginner-high and intermediate-low (level 1) and intermediate-high and advanced-low (level 2). </w:t>
      </w:r>
    </w:p>
    <w:p>
      <w:pPr>
        <w:spacing w:before="0" w:after="0" w:line="290"/>
        <w:ind w:right="0" w:left="0" w:firstLine="19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9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Table 1.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18"/>
          <w:shd w:fill="auto" w:val="clear"/>
        </w:rPr>
        <w:t xml:space="preserve">Demographic Information of Participants</w:t>
      </w:r>
    </w:p>
    <w:tbl>
      <w:tblPr/>
      <w:tblGrid>
        <w:gridCol w:w="1985"/>
        <w:gridCol w:w="2410"/>
        <w:gridCol w:w="1417"/>
        <w:gridCol w:w="1560"/>
      </w:tblGrid>
      <w:tr>
        <w:trPr>
          <w:trHeight w:val="546" w:hRule="auto"/>
          <w:jc w:val="left"/>
        </w:trPr>
        <w:tc>
          <w:tcPr>
            <w:tcW w:w="1985" w:type="dxa"/>
            <w:tcBorders>
              <w:top w:val="single" w:color="000000" w:sz="2"/>
              <w:left w:val="single" w:color="000000" w:sz="0"/>
              <w:bottom w:val="single" w:color="000000" w:sz="2"/>
              <w:right w:val="single" w:color="000000" w:sz="2"/>
            </w:tcBorders>
            <w:shd w:color="auto" w:fill="d6d6d6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Participant name</w:t>
            </w:r>
          </w:p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(years of employment)</w:t>
            </w:r>
          </w:p>
        </w:tc>
        <w:tc>
          <w:tcPr>
            <w:tcW w:w="2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d6d6d6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Position</w:t>
            </w:r>
          </w:p>
        </w:tc>
        <w:tc>
          <w:tcPr>
            <w:tcW w:w="141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d6d6d6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Standing</w:t>
            </w:r>
          </w:p>
        </w:tc>
        <w:tc>
          <w:tcPr>
            <w:tcW w:w="156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d6d6d6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Age (Gender)</w:t>
            </w:r>
          </w:p>
        </w:tc>
      </w:tr>
      <w:tr>
        <w:trPr>
          <w:trHeight w:val="273" w:hRule="auto"/>
          <w:jc w:val="left"/>
        </w:trPr>
        <w:tc>
          <w:tcPr>
            <w:tcW w:w="1985" w:type="dxa"/>
            <w:tcBorders>
              <w:top w:val="single" w:color="000000" w:sz="2"/>
              <w:left w:val="single" w:color="000000" w:sz="0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Desu (3)</w:t>
            </w:r>
          </w:p>
        </w:tc>
        <w:tc>
          <w:tcPr>
            <w:tcW w:w="2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CEO</w:t>
            </w:r>
          </w:p>
        </w:tc>
        <w:tc>
          <w:tcPr>
            <w:tcW w:w="141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Full-time</w:t>
            </w:r>
          </w:p>
        </w:tc>
        <w:tc>
          <w:tcPr>
            <w:tcW w:w="156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32 (male)</w:t>
            </w:r>
          </w:p>
        </w:tc>
      </w:tr>
      <w:tr>
        <w:trPr>
          <w:trHeight w:val="273" w:hRule="auto"/>
          <w:jc w:val="left"/>
        </w:trPr>
        <w:tc>
          <w:tcPr>
            <w:tcW w:w="1985" w:type="dxa"/>
            <w:tcBorders>
              <w:top w:val="single" w:color="000000" w:sz="2"/>
              <w:left w:val="single" w:color="000000" w:sz="0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Gug (3)</w:t>
            </w:r>
          </w:p>
        </w:tc>
        <w:tc>
          <w:tcPr>
            <w:tcW w:w="2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Marketing &amp; operation team/ manager</w:t>
            </w:r>
          </w:p>
        </w:tc>
        <w:tc>
          <w:tcPr>
            <w:tcW w:w="141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Full-time</w:t>
            </w:r>
          </w:p>
        </w:tc>
        <w:tc>
          <w:tcPr>
            <w:tcW w:w="156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29 (male)</w:t>
            </w:r>
          </w:p>
        </w:tc>
      </w:tr>
      <w:tr>
        <w:trPr>
          <w:trHeight w:val="113" w:hRule="auto"/>
          <w:jc w:val="left"/>
        </w:trPr>
        <w:tc>
          <w:tcPr>
            <w:tcW w:w="1985" w:type="dxa"/>
            <w:tcBorders>
              <w:top w:val="single" w:color="000000" w:sz="2"/>
              <w:left w:val="single" w:color="000000" w:sz="0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Woo (3)</w:t>
            </w:r>
          </w:p>
        </w:tc>
        <w:tc>
          <w:tcPr>
            <w:tcW w:w="2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Production team/ manager</w:t>
            </w:r>
          </w:p>
        </w:tc>
        <w:tc>
          <w:tcPr>
            <w:tcW w:w="141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Full-time</w:t>
            </w:r>
          </w:p>
        </w:tc>
        <w:tc>
          <w:tcPr>
            <w:tcW w:w="156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26 (male)</w:t>
            </w:r>
          </w:p>
        </w:tc>
      </w:tr>
      <w:tr>
        <w:trPr>
          <w:trHeight w:val="113" w:hRule="auto"/>
          <w:jc w:val="left"/>
        </w:trPr>
        <w:tc>
          <w:tcPr>
            <w:tcW w:w="1985" w:type="dxa"/>
            <w:tcBorders>
              <w:top w:val="single" w:color="000000" w:sz="2"/>
              <w:left w:val="single" w:color="000000" w:sz="0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Hen (2.5)</w:t>
            </w:r>
          </w:p>
        </w:tc>
        <w:tc>
          <w:tcPr>
            <w:tcW w:w="2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Production team/ designer</w:t>
            </w:r>
          </w:p>
        </w:tc>
        <w:tc>
          <w:tcPr>
            <w:tcW w:w="141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Full-time</w:t>
            </w:r>
          </w:p>
        </w:tc>
        <w:tc>
          <w:tcPr>
            <w:tcW w:w="156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25 (male)</w:t>
            </w:r>
          </w:p>
        </w:tc>
      </w:tr>
      <w:tr>
        <w:trPr>
          <w:trHeight w:val="113" w:hRule="auto"/>
          <w:jc w:val="left"/>
        </w:trPr>
        <w:tc>
          <w:tcPr>
            <w:tcW w:w="1985" w:type="dxa"/>
            <w:tcBorders>
              <w:top w:val="single" w:color="000000" w:sz="2"/>
              <w:left w:val="single" w:color="000000" w:sz="0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Soh (1)</w:t>
            </w:r>
          </w:p>
        </w:tc>
        <w:tc>
          <w:tcPr>
            <w:tcW w:w="2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Production team/ member</w:t>
            </w:r>
          </w:p>
        </w:tc>
        <w:tc>
          <w:tcPr>
            <w:tcW w:w="141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Full-time</w:t>
            </w:r>
          </w:p>
        </w:tc>
        <w:tc>
          <w:tcPr>
            <w:tcW w:w="156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25 (male)</w:t>
            </w:r>
          </w:p>
        </w:tc>
      </w:tr>
      <w:tr>
        <w:trPr>
          <w:trHeight w:val="113" w:hRule="auto"/>
          <w:jc w:val="left"/>
        </w:trPr>
        <w:tc>
          <w:tcPr>
            <w:tcW w:w="1985" w:type="dxa"/>
            <w:tcBorders>
              <w:top w:val="single" w:color="000000" w:sz="2"/>
              <w:left w:val="single" w:color="000000" w:sz="0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Gyu (1)</w:t>
            </w:r>
          </w:p>
        </w:tc>
        <w:tc>
          <w:tcPr>
            <w:tcW w:w="2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Marketing team/ member</w:t>
            </w:r>
          </w:p>
        </w:tc>
        <w:tc>
          <w:tcPr>
            <w:tcW w:w="141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Part-time</w:t>
            </w:r>
          </w:p>
        </w:tc>
        <w:tc>
          <w:tcPr>
            <w:tcW w:w="156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23 (male)</w:t>
            </w:r>
          </w:p>
        </w:tc>
      </w:tr>
      <w:tr>
        <w:trPr>
          <w:trHeight w:val="113" w:hRule="auto"/>
          <w:jc w:val="left"/>
        </w:trPr>
        <w:tc>
          <w:tcPr>
            <w:tcW w:w="1985" w:type="dxa"/>
            <w:tcBorders>
              <w:top w:val="single" w:color="000000" w:sz="2"/>
              <w:left w:val="single" w:color="000000" w:sz="0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Yen (1)</w:t>
            </w:r>
          </w:p>
        </w:tc>
        <w:tc>
          <w:tcPr>
            <w:tcW w:w="2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Marketing team/ member</w:t>
            </w:r>
          </w:p>
        </w:tc>
        <w:tc>
          <w:tcPr>
            <w:tcW w:w="141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Part-time</w:t>
            </w:r>
          </w:p>
        </w:tc>
        <w:tc>
          <w:tcPr>
            <w:tcW w:w="156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23(female)</w:t>
            </w:r>
          </w:p>
        </w:tc>
      </w:tr>
      <w:tr>
        <w:trPr>
          <w:trHeight w:val="113" w:hRule="auto"/>
          <w:jc w:val="left"/>
        </w:trPr>
        <w:tc>
          <w:tcPr>
            <w:tcW w:w="1985" w:type="dxa"/>
            <w:tcBorders>
              <w:top w:val="single" w:color="000000" w:sz="2"/>
              <w:left w:val="single" w:color="000000" w:sz="0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Jun (1.5)</w:t>
            </w:r>
          </w:p>
        </w:tc>
        <w:tc>
          <w:tcPr>
            <w:tcW w:w="241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Production team/ member</w:t>
            </w:r>
          </w:p>
        </w:tc>
        <w:tc>
          <w:tcPr>
            <w:tcW w:w="1417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Part-time</w:t>
            </w:r>
          </w:p>
        </w:tc>
        <w:tc>
          <w:tcPr>
            <w:tcW w:w="156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000000" w:fill="ffffff" w:val="clear"/>
            <w:tcMar>
              <w:left w:w="102" w:type="dxa"/>
              <w:right w:w="102" w:type="dxa"/>
            </w:tcMar>
            <w:vAlign w:val="center"/>
          </w:tcPr>
          <w:p>
            <w:pPr>
              <w:spacing w:before="0" w:after="0" w:line="290"/>
              <w:ind w:right="0" w:left="0" w:firstLine="17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23(female)</w:t>
            </w:r>
          </w:p>
        </w:tc>
      </w:tr>
    </w:tbl>
    <w:p>
      <w:pPr>
        <w:spacing w:before="0" w:after="0" w:line="290"/>
        <w:ind w:right="0" w:left="0" w:firstLine="245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9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   </w:t>
      </w:r>
    </w:p>
    <w:p>
      <w:pPr>
        <w:spacing w:before="0" w:after="0" w:line="290"/>
        <w:ind w:right="0" w:left="0" w:firstLine="0"/>
        <w:jc w:val="center"/>
        <w:rPr>
          <w:rFonts w:ascii="Arial" w:hAnsi="Arial" w:cs="Arial" w:eastAsia="Arial"/>
          <w:color w:val="auto"/>
          <w:spacing w:val="-2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  <w:t xml:space="preserve">REFERENCES</w:t>
      </w:r>
    </w:p>
    <w:p>
      <w:pPr>
        <w:spacing w:before="0" w:after="0" w:line="290"/>
        <w:ind w:right="0" w:left="0" w:firstLine="0"/>
        <w:jc w:val="center"/>
        <w:rPr>
          <w:rFonts w:ascii="Arial" w:hAnsi="Arial" w:cs="Arial" w:eastAsia="Arial"/>
          <w:color w:val="auto"/>
          <w:spacing w:val="-2"/>
          <w:position w:val="0"/>
          <w:sz w:val="22"/>
          <w:shd w:fill="auto" w:val="clear"/>
        </w:rPr>
      </w:pPr>
    </w:p>
    <w:p>
      <w:pPr>
        <w:spacing w:before="0" w:after="0" w:line="290"/>
        <w:ind w:right="0" w:left="594" w:hanging="594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Boxer, D., &amp; Cortés-Conde, F. (1997). From bonding to biting: Conversational joking and identity display. 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0"/>
          <w:shd w:fill="auto" w:val="clear"/>
        </w:rPr>
        <w:t xml:space="preserve">Journal of Pragmatics, 27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(3), 275-294.</w:t>
      </w:r>
    </w:p>
    <w:p>
      <w:pPr>
        <w:spacing w:before="0" w:after="0" w:line="290"/>
        <w:ind w:right="0" w:left="299" w:hanging="29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auto"/>
          <w:spacing w:val="-2"/>
          <w:position w:val="0"/>
          <w:sz w:val="20"/>
          <w:shd w:fill="auto" w:val="clear"/>
        </w:rPr>
        <w:t xml:space="preserve">…</w:t>
      </w:r>
    </w:p>
    <w:p>
      <w:pPr>
        <w:spacing w:before="0" w:after="0" w:line="290"/>
        <w:ind w:right="0" w:left="594" w:hanging="594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Carter, R. (2004). 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0"/>
          <w:shd w:fill="auto" w:val="clear"/>
        </w:rPr>
        <w:t xml:space="preserve">Language and creativity: The art of common talk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. Routledge.</w:t>
      </w:r>
    </w:p>
    <w:p>
      <w:pPr>
        <w:spacing w:before="0" w:after="0" w:line="290"/>
        <w:ind w:right="0" w:left="594" w:hanging="594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auto"/>
          <w:spacing w:val="-2"/>
          <w:position w:val="0"/>
          <w:sz w:val="20"/>
          <w:shd w:fill="auto" w:val="clear"/>
        </w:rPr>
        <w:t xml:space="preserve">…</w:t>
      </w:r>
    </w:p>
    <w:p>
      <w:pPr>
        <w:spacing w:before="0" w:after="0" w:line="290"/>
        <w:ind w:right="0" w:left="594" w:hanging="594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0"/>
          <w:shd w:fill="auto" w:val="clear"/>
        </w:rPr>
        <w:t xml:space="preserve">Max, S. (2012, July 5). My Summer incubationship: Student entrepreneurs get a crash course in launching a small business. Retreived September 15, 2022 from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-2"/>
            <w:position w:val="0"/>
            <w:sz w:val="20"/>
            <w:u w:val="single"/>
            <w:shd w:fill="auto" w:val="clear"/>
          </w:rPr>
          <w:t xml:space="preserve">http://business.time.com/2012/07/05/my-summer-incubationship-student-entrepreneurs-get-a-crash-course-in-launching-a-small-business/</w:t>
        </w:r>
      </w:hyperlink>
    </w:p>
    <w:p>
      <w:pPr>
        <w:spacing w:before="0" w:after="0" w:line="290"/>
        <w:ind w:right="0" w:left="594" w:hanging="594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맑은 고딕" w:hAnsi="맑은 고딕" w:cs="맑은 고딕" w:eastAsia="맑은 고딕"/>
          <w:color w:val="auto"/>
          <w:spacing w:val="-2"/>
          <w:position w:val="0"/>
          <w:sz w:val="20"/>
          <w:shd w:fill="auto" w:val="clear"/>
        </w:rPr>
        <w:t xml:space="preserve">…</w:t>
      </w:r>
    </w:p>
    <w:p>
      <w:pPr>
        <w:spacing w:before="0" w:after="0" w:line="290"/>
        <w:ind w:right="0" w:left="594" w:hanging="594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Yoon, S. S. (2015). Korean honorifics beyond politeness markers: Change of footing through shifting of speech style. In M. Terkourafi &amp; S. Defibaugh (Eds.), 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0"/>
          <w:shd w:fill="auto" w:val="clear"/>
        </w:rPr>
        <w:t xml:space="preserve">Interdisciplinary perspectives on im/politeness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 (pp. 97-120). John Benjamins Publishing Company.</w:t>
      </w:r>
    </w:p>
    <w:p>
      <w:pPr>
        <w:spacing w:before="0" w:after="0" w:line="290"/>
        <w:ind w:right="0" w:left="594" w:hanging="594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90"/>
        <w:ind w:right="0" w:left="594" w:hanging="594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90"/>
        <w:ind w:right="0" w:left="594" w:hanging="594"/>
        <w:jc w:val="center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APPENDIX</w:t>
      </w:r>
    </w:p>
    <w:p>
      <w:pPr>
        <w:spacing w:before="0" w:after="0" w:line="290"/>
        <w:ind w:right="0" w:left="594" w:hanging="594"/>
        <w:jc w:val="center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Transcription Conventions</w:t>
      </w:r>
    </w:p>
    <w:p>
      <w:pPr>
        <w:spacing w:before="0" w:after="0" w:line="290"/>
        <w:ind w:right="0" w:left="594" w:hanging="594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90"/>
        <w:ind w:right="0" w:left="594" w:hanging="594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__ Underlining:  indicates emphatic stress</w:t>
      </w:r>
    </w:p>
    <w:p>
      <w:pPr>
        <w:spacing w:before="0" w:after="0" w:line="290"/>
        <w:ind w:right="0" w:left="594" w:hanging="594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[laughs]: Paralinguistic features in square brackets</w:t>
      </w:r>
    </w:p>
    <w:p>
      <w:pPr>
        <w:spacing w:before="0" w:after="0" w:line="290"/>
        <w:ind w:right="0" w:left="594" w:hanging="594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(-): pause</w:t>
      </w:r>
    </w:p>
    <w:p>
      <w:pPr>
        <w:spacing w:before="0" w:after="0" w:line="290"/>
        <w:ind w:right="0" w:left="594" w:hanging="594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... // \ ...</w:t>
      </w:r>
    </w:p>
    <w:p>
      <w:pPr>
        <w:spacing w:before="0" w:after="0" w:line="290"/>
        <w:ind w:right="0" w:left="594" w:hanging="594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... / \\ ... Simultaneous speech</w:t>
      </w:r>
    </w:p>
    <w:p>
      <w:pPr>
        <w:spacing w:before="0" w:after="0" w:line="290"/>
        <w:ind w:right="0" w:left="594" w:hanging="594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( ): Unclear utterance</w:t>
      </w:r>
    </w:p>
    <w:p>
      <w:pPr>
        <w:spacing w:before="0" w:after="0" w:line="290"/>
        <w:ind w:right="0" w:left="594" w:hanging="594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?: Rising or question intonation</w:t>
      </w:r>
    </w:p>
    <w:p>
      <w:pPr>
        <w:spacing w:before="0" w:after="0" w:line="290"/>
        <w:ind w:right="0" w:left="594" w:hanging="594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(()) Author</w:t>
      </w:r>
      <w:r>
        <w:rPr>
          <w:rFonts w:ascii="맑은 고딕" w:hAnsi="맑은 고딕" w:cs="맑은 고딕" w:eastAsia="맑은 고딕"/>
          <w:color w:val="auto"/>
          <w:spacing w:val="-2"/>
          <w:position w:val="0"/>
          <w:sz w:val="20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s comments on quality of speech or context</w:t>
      </w:r>
    </w:p>
    <w:p>
      <w:pPr>
        <w:spacing w:before="0" w:after="0" w:line="290"/>
        <w:ind w:right="0" w:left="576" w:hanging="576"/>
        <w:jc w:val="both"/>
        <w:rPr>
          <w:rFonts w:ascii="Times New Roman" w:hAnsi="Times New Roman" w:cs="Times New Roman" w:eastAsia="Times New Roman"/>
          <w:color w:val="auto"/>
          <w:spacing w:val="-8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socioling.com/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://dx.doi.org/10.14353/sjk.2020.28.3.05" Id="docRId0" Type="http://schemas.openxmlformats.org/officeDocument/2006/relationships/hyperlink" /><Relationship TargetMode="External" Target="http://business.time.com/2012/07/05/my-summer-incubationship-student-entrepreneurs-get-a-crash-course-in-launching-a-small-business/" Id="docRId2" Type="http://schemas.openxmlformats.org/officeDocument/2006/relationships/hyperlink" /><Relationship Target="styles.xml" Id="docRId4" Type="http://schemas.openxmlformats.org/officeDocument/2006/relationships/styles" /></Relationships>
</file>